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BB5830">
        <w:rPr>
          <w:rFonts w:eastAsia="Malgun Gothic"/>
          <w:b/>
          <w:bCs/>
          <w:sz w:val="28"/>
          <w:lang w:val="en-GB"/>
        </w:rPr>
        <w:t>#</w:t>
      </w:r>
      <w:r w:rsidR="00C22DD2">
        <w:rPr>
          <w:rFonts w:eastAsia="Malgun Gothic"/>
          <w:b/>
          <w:bCs/>
          <w:sz w:val="28"/>
          <w:lang w:val="en-GB"/>
        </w:rPr>
        <w:t>90</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Pr="00673AE8">
        <w:rPr>
          <w:rFonts w:eastAsia="Malgun Gothic"/>
          <w:b/>
          <w:bCs/>
          <w:sz w:val="28"/>
          <w:lang w:val="en-GB"/>
        </w:rPr>
        <w:t>R5-2</w:t>
      </w:r>
      <w:r w:rsidR="00C22DD2">
        <w:rPr>
          <w:rFonts w:eastAsia="Malgun Gothic"/>
          <w:b/>
          <w:bCs/>
          <w:sz w:val="28"/>
          <w:lang w:val="en-GB"/>
        </w:rPr>
        <w:t>1</w:t>
      </w:r>
      <w:r w:rsidR="007E3499">
        <w:rPr>
          <w:rFonts w:eastAsia="Malgun Gothic"/>
          <w:b/>
          <w:bCs/>
          <w:sz w:val="28"/>
          <w:lang w:val="en-GB"/>
        </w:rPr>
        <w:t>1263</w:t>
      </w:r>
      <w:r w:rsidR="004F4B9A" w:rsidRPr="004F4B9A">
        <w:rPr>
          <w:rFonts w:eastAsia="Malgun Gothic"/>
          <w:b/>
          <w:bCs/>
          <w:sz w:val="28"/>
          <w:highlight w:val="yellow"/>
          <w:lang w:val="en-GB"/>
        </w:rPr>
        <w:t>r1</w:t>
      </w:r>
    </w:p>
    <w:p w:rsidR="00673AE8" w:rsidRPr="00673AE8"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Electronic Meeting, </w:t>
      </w:r>
      <w:r w:rsidR="00C22DD2">
        <w:rPr>
          <w:rFonts w:eastAsia="Malgun Gothic"/>
          <w:b/>
          <w:bCs/>
          <w:sz w:val="28"/>
          <w:lang w:eastAsia="ko-KR"/>
        </w:rPr>
        <w:t>22</w:t>
      </w:r>
      <w:r w:rsidR="00673AE8" w:rsidRPr="00673AE8">
        <w:rPr>
          <w:rFonts w:eastAsia="Malgun Gothic"/>
          <w:b/>
          <w:bCs/>
          <w:sz w:val="28"/>
          <w:vertAlign w:val="superscript"/>
          <w:lang w:eastAsia="ko-KR"/>
        </w:rPr>
        <w:t>th</w:t>
      </w:r>
      <w:r w:rsidR="00673AE8" w:rsidRPr="00673AE8">
        <w:rPr>
          <w:rFonts w:eastAsia="Malgun Gothic"/>
          <w:b/>
          <w:bCs/>
          <w:sz w:val="28"/>
          <w:lang w:eastAsia="ko-KR"/>
        </w:rPr>
        <w:t xml:space="preserve"> </w:t>
      </w:r>
      <w:r w:rsidR="00C22DD2">
        <w:rPr>
          <w:rFonts w:eastAsia="Malgun Gothic"/>
          <w:b/>
          <w:bCs/>
          <w:sz w:val="28"/>
          <w:lang w:eastAsia="ko-KR"/>
        </w:rPr>
        <w:t>February</w:t>
      </w:r>
      <w:r w:rsidR="00673AE8" w:rsidRPr="00673AE8">
        <w:rPr>
          <w:rFonts w:eastAsia="Malgun Gothic"/>
          <w:b/>
          <w:bCs/>
          <w:sz w:val="28"/>
          <w:lang w:eastAsia="ko-KR"/>
        </w:rPr>
        <w:t xml:space="preserve"> – </w:t>
      </w:r>
      <w:r w:rsidR="00C22DD2">
        <w:rPr>
          <w:rFonts w:eastAsia="Malgun Gothic"/>
          <w:b/>
          <w:bCs/>
          <w:sz w:val="28"/>
          <w:lang w:eastAsia="ko-KR"/>
        </w:rPr>
        <w:t>5</w:t>
      </w:r>
      <w:r w:rsidR="00C22DD2" w:rsidRPr="00C22DD2">
        <w:rPr>
          <w:rFonts w:eastAsia="Malgun Gothic"/>
          <w:b/>
          <w:bCs/>
          <w:sz w:val="28"/>
          <w:vertAlign w:val="superscript"/>
          <w:lang w:eastAsia="ko-KR"/>
        </w:rPr>
        <w:t>th</w:t>
      </w:r>
      <w:r w:rsidR="00C22DD2">
        <w:rPr>
          <w:rFonts w:eastAsia="Malgun Gothic"/>
          <w:b/>
          <w:bCs/>
          <w:sz w:val="28"/>
          <w:lang w:eastAsia="ko-KR"/>
        </w:rPr>
        <w:t xml:space="preserve"> </w:t>
      </w:r>
      <w:r w:rsidR="00673AE8" w:rsidRPr="00673AE8">
        <w:rPr>
          <w:rFonts w:eastAsia="Malgun Gothic"/>
          <w:b/>
          <w:bCs/>
          <w:sz w:val="28"/>
          <w:lang w:eastAsia="ko-KR"/>
        </w:rPr>
        <w:t xml:space="preserve"> </w:t>
      </w:r>
      <w:r w:rsidR="00C22DD2">
        <w:rPr>
          <w:rFonts w:eastAsia="Malgun Gothic"/>
          <w:b/>
          <w:bCs/>
          <w:sz w:val="28"/>
          <w:lang w:eastAsia="ko-KR"/>
        </w:rPr>
        <w:t>March 2021</w:t>
      </w:r>
    </w:p>
    <w:p w:rsidR="00A2208A" w:rsidRPr="00B55C47" w:rsidRDefault="00A2208A" w:rsidP="00A2208A">
      <w:pPr>
        <w:rPr>
          <w:bCs/>
        </w:rPr>
      </w:pPr>
      <w:r w:rsidRPr="00B55C47">
        <w:rPr>
          <w:b/>
        </w:rPr>
        <w:t>Source:</w:t>
      </w:r>
      <w:r w:rsidRPr="00B55C47">
        <w:rPr>
          <w:b/>
        </w:rPr>
        <w:tab/>
      </w:r>
      <w:r w:rsidRPr="00B55C47">
        <w:rPr>
          <w:b/>
        </w:rPr>
        <w:tab/>
      </w:r>
      <w:r w:rsidRPr="00B55C47">
        <w:t>Rohde &amp; Schwarz</w:t>
      </w:r>
    </w:p>
    <w:p w:rsidR="00A2208A" w:rsidRPr="00BC6E8D" w:rsidRDefault="00A2208A" w:rsidP="00A2208A">
      <w:pPr>
        <w:ind w:left="2160" w:hanging="2160"/>
      </w:pPr>
      <w:r w:rsidRPr="00B55C47">
        <w:rPr>
          <w:b/>
        </w:rPr>
        <w:t>Title:</w:t>
      </w:r>
      <w:r w:rsidRPr="00B55C47">
        <w:rPr>
          <w:b/>
        </w:rPr>
        <w:tab/>
      </w:r>
      <w:r w:rsidR="00BB5830">
        <w:t xml:space="preserve">On </w:t>
      </w:r>
      <w:r w:rsidR="00121FFE">
        <w:t>the</w:t>
      </w:r>
      <w:r w:rsidR="00C22DD2">
        <w:t xml:space="preserve"> </w:t>
      </w:r>
      <w:r w:rsidR="00A235FB">
        <w:t xml:space="preserve">MU for </w:t>
      </w:r>
      <w:r w:rsidR="00B83963">
        <w:t>n259</w:t>
      </w:r>
    </w:p>
    <w:p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rsidR="00B81FC7" w:rsidRPr="00B55C47" w:rsidRDefault="00B81FC7" w:rsidP="00B81FC7">
      <w:pPr>
        <w:pStyle w:val="berschrift1"/>
        <w:rPr>
          <w:rFonts w:cs="Arial"/>
          <w:lang w:val="en-US"/>
        </w:rPr>
      </w:pPr>
      <w:r w:rsidRPr="00B55C47">
        <w:rPr>
          <w:rFonts w:cs="Arial"/>
          <w:lang w:val="en-US"/>
        </w:rPr>
        <w:t>Introduction</w:t>
      </w:r>
    </w:p>
    <w:p w:rsidR="00BB5830" w:rsidRDefault="00104553" w:rsidP="00855AF8">
      <w:bookmarkStart w:id="0" w:name="OLE_LINK10"/>
      <w:bookmarkStart w:id="1" w:name="OLE_LINK11"/>
      <w:r>
        <w:t>At</w:t>
      </w:r>
      <w:r w:rsidR="00C22DD2">
        <w:t xml:space="preserve"> the last RAN</w:t>
      </w:r>
      <w:r w:rsidR="00A22819">
        <w:t>5 meeting</w:t>
      </w:r>
      <w:r w:rsidR="00C22DD2">
        <w:t xml:space="preserve"> </w:t>
      </w:r>
      <w:r w:rsidR="008C2CA2">
        <w:t>estimation for the MU for NR band n259 have been discussed [</w:t>
      </w:r>
      <w:r w:rsidR="004E2BED">
        <w:t>1,2,3</w:t>
      </w:r>
      <w:r w:rsidR="00C22DD2" w:rsidRPr="00A22819">
        <w:t>]</w:t>
      </w:r>
      <w:r w:rsidR="00BB5830" w:rsidRPr="00A22819">
        <w:t>.</w:t>
      </w:r>
      <w:r w:rsidR="00BB5830">
        <w:t xml:space="preserve"> </w:t>
      </w:r>
      <w:r w:rsidR="008C2CA2">
        <w:t>In this contribution</w:t>
      </w:r>
      <w:r w:rsidR="00C22DD2">
        <w:t xml:space="preserve">, we </w:t>
      </w:r>
      <w:r w:rsidR="008C2CA2">
        <w:t xml:space="preserve">propose values for the MU of the </w:t>
      </w:r>
      <w:r w:rsidR="004E2BED">
        <w:t xml:space="preserve">NTC </w:t>
      </w:r>
      <w:r w:rsidR="008C2CA2">
        <w:t>QoQZ for an IFF system with 30cm QZ size based on the results of our characterization campaign</w:t>
      </w:r>
      <w:r w:rsidR="00A235FB">
        <w:t xml:space="preserve">. </w:t>
      </w:r>
    </w:p>
    <w:p w:rsidR="00FC45FA" w:rsidRPr="00BB5830" w:rsidRDefault="00BC6E8D" w:rsidP="00FC45FA">
      <w:pPr>
        <w:pStyle w:val="berschrift1"/>
        <w:rPr>
          <w:lang w:val="en-US"/>
        </w:rPr>
      </w:pPr>
      <w:r w:rsidRPr="00BB5830">
        <w:rPr>
          <w:lang w:val="en-US"/>
        </w:rPr>
        <w:t>Discussion</w:t>
      </w:r>
    </w:p>
    <w:p w:rsidR="00104553" w:rsidRDefault="00104553" w:rsidP="00104553">
      <w:pPr>
        <w:rPr>
          <w:lang w:eastAsia="en-US"/>
        </w:rPr>
      </w:pPr>
      <w:r>
        <w:rPr>
          <w:lang w:eastAsia="en-US"/>
        </w:rPr>
        <w:t xml:space="preserve">In this contribution, we provide the results of </w:t>
      </w:r>
      <w:r w:rsidR="0075487E">
        <w:rPr>
          <w:lang w:eastAsia="en-US"/>
        </w:rPr>
        <w:t>our</w:t>
      </w:r>
      <w:r>
        <w:rPr>
          <w:lang w:eastAsia="en-US"/>
        </w:rPr>
        <w:t xml:space="preserve"> QoQZ characterization campaign of </w:t>
      </w:r>
      <w:r w:rsidR="0075487E">
        <w:rPr>
          <w:lang w:eastAsia="en-US"/>
        </w:rPr>
        <w:t>an</w:t>
      </w:r>
      <w:r>
        <w:rPr>
          <w:lang w:eastAsia="en-US"/>
        </w:rPr>
        <w:t xml:space="preserve"> IFF system with 30cm QZ size</w:t>
      </w:r>
      <w:r w:rsidR="0075487E">
        <w:rPr>
          <w:lang w:eastAsia="en-US"/>
        </w:rPr>
        <w:t xml:space="preserve"> without ETC enclosure. Values for a system equipped with an ETC enclosure have been submitted in a different </w:t>
      </w:r>
      <w:r w:rsidR="0075487E" w:rsidRPr="004E2BED">
        <w:rPr>
          <w:lang w:eastAsia="en-US"/>
        </w:rPr>
        <w:t xml:space="preserve">contribution </w:t>
      </w:r>
      <w:r w:rsidR="004E2BED" w:rsidRPr="004E2BED">
        <w:rPr>
          <w:lang w:eastAsia="en-US"/>
        </w:rPr>
        <w:t>[4</w:t>
      </w:r>
      <w:r w:rsidR="0075487E" w:rsidRPr="004E2BED">
        <w:rPr>
          <w:lang w:eastAsia="en-US"/>
        </w:rPr>
        <w:t>]</w:t>
      </w:r>
      <w:r w:rsidRPr="004E2BED">
        <w:rPr>
          <w:lang w:eastAsia="en-US"/>
        </w:rPr>
        <w:t>. The</w:t>
      </w:r>
      <w:r>
        <w:rPr>
          <w:lang w:eastAsia="en-US"/>
        </w:rPr>
        <w:t xml:space="preserve"> measurements have been performed according to the QoQZ characterization procedure specified in Clause O.2 of TS 38.521-2</w:t>
      </w:r>
      <w:r w:rsidR="00F201BF">
        <w:rPr>
          <w:lang w:eastAsia="en-US"/>
        </w:rPr>
        <w:t xml:space="preserve"> making use of the repositioning </w:t>
      </w:r>
      <w:r w:rsidR="00F201BF" w:rsidRPr="0075487E">
        <w:rPr>
          <w:lang w:eastAsia="en-US"/>
        </w:rPr>
        <w:t>approach resulting in 238 EIRP</w:t>
      </w:r>
      <w:r w:rsidR="006F308A">
        <w:rPr>
          <w:lang w:eastAsia="en-US"/>
        </w:rPr>
        <w:t xml:space="preserve"> and TRP</w:t>
      </w:r>
      <w:r w:rsidR="00F201BF" w:rsidRPr="0075487E">
        <w:rPr>
          <w:lang w:eastAsia="en-US"/>
        </w:rPr>
        <w:t xml:space="preserve"> measurements</w:t>
      </w:r>
      <w:r w:rsidRPr="0075487E">
        <w:rPr>
          <w:lang w:eastAsia="en-US"/>
        </w:rPr>
        <w:t>.</w:t>
      </w:r>
      <w:r>
        <w:rPr>
          <w:lang w:eastAsia="en-US"/>
        </w:rPr>
        <w:t xml:space="preserve"> </w:t>
      </w:r>
    </w:p>
    <w:p w:rsidR="00104553" w:rsidRDefault="00104553" w:rsidP="00104553">
      <w:pPr>
        <w:rPr>
          <w:lang w:eastAsia="en-US"/>
        </w:rPr>
      </w:pPr>
      <w:r>
        <w:rPr>
          <w:lang w:eastAsia="en-US"/>
        </w:rPr>
        <w:t xml:space="preserve">Our results for the standard deviations for EIRP </w:t>
      </w:r>
      <w:r w:rsidR="008C2CA2">
        <w:rPr>
          <w:lang w:eastAsia="en-US"/>
        </w:rPr>
        <w:t xml:space="preserve">and TRP </w:t>
      </w:r>
      <w:r w:rsidR="0075487E">
        <w:rPr>
          <w:lang w:eastAsia="en-US"/>
        </w:rPr>
        <w:t xml:space="preserve">at the 3GPP agreed frequencies relevant </w:t>
      </w:r>
      <w:r w:rsidR="008C2CA2">
        <w:rPr>
          <w:lang w:eastAsia="en-US"/>
        </w:rPr>
        <w:t xml:space="preserve">for </w:t>
      </w:r>
      <w:r w:rsidR="0075487E">
        <w:rPr>
          <w:lang w:eastAsia="en-US"/>
        </w:rPr>
        <w:t>FR2</w:t>
      </w:r>
      <w:r w:rsidR="008C2CA2">
        <w:rPr>
          <w:lang w:eastAsia="en-US"/>
        </w:rPr>
        <w:t xml:space="preserve">c </w:t>
      </w:r>
      <w:r>
        <w:rPr>
          <w:lang w:eastAsia="en-US"/>
        </w:rPr>
        <w:t>are summarized in Table 1.</w:t>
      </w:r>
    </w:p>
    <w:p w:rsidR="00104553" w:rsidRPr="00104553" w:rsidRDefault="00104553" w:rsidP="00104553">
      <w:pPr>
        <w:spacing w:before="120" w:after="120" w:line="240" w:lineRule="auto"/>
        <w:jc w:val="center"/>
        <w:rPr>
          <w:rFonts w:eastAsia="Malgun Gothic"/>
          <w:b/>
          <w:sz w:val="20"/>
          <w:szCs w:val="20"/>
          <w:lang w:val="en-GB" w:eastAsia="en-US"/>
        </w:rPr>
      </w:pPr>
      <w:bookmarkStart w:id="2" w:name="_Ref521427013"/>
      <w:r w:rsidRPr="00104553">
        <w:rPr>
          <w:rFonts w:eastAsia="Malgun Gothic"/>
          <w:b/>
          <w:sz w:val="20"/>
          <w:szCs w:val="20"/>
          <w:lang w:val="en-GB" w:eastAsia="en-US"/>
        </w:rPr>
        <w:t xml:space="preserve">Table </w:t>
      </w:r>
      <w:r w:rsidRPr="00104553">
        <w:rPr>
          <w:rFonts w:eastAsia="Malgun Gothic"/>
          <w:b/>
          <w:sz w:val="20"/>
          <w:szCs w:val="20"/>
          <w:lang w:val="en-GB" w:eastAsia="en-US"/>
        </w:rPr>
        <w:fldChar w:fldCharType="begin"/>
      </w:r>
      <w:r w:rsidRPr="00104553">
        <w:rPr>
          <w:rFonts w:eastAsia="Malgun Gothic"/>
          <w:b/>
          <w:sz w:val="20"/>
          <w:szCs w:val="20"/>
          <w:lang w:val="en-GB" w:eastAsia="en-US"/>
        </w:rPr>
        <w:instrText xml:space="preserve"> SEQ Table \* ARABIC </w:instrText>
      </w:r>
      <w:r w:rsidRPr="00104553">
        <w:rPr>
          <w:rFonts w:eastAsia="Malgun Gothic"/>
          <w:b/>
          <w:sz w:val="20"/>
          <w:szCs w:val="20"/>
          <w:lang w:val="en-GB" w:eastAsia="en-US"/>
        </w:rPr>
        <w:fldChar w:fldCharType="separate"/>
      </w:r>
      <w:r w:rsidR="00F201BF">
        <w:rPr>
          <w:rFonts w:eastAsia="Malgun Gothic"/>
          <w:b/>
          <w:noProof/>
          <w:sz w:val="20"/>
          <w:szCs w:val="20"/>
          <w:lang w:val="en-GB" w:eastAsia="en-US"/>
        </w:rPr>
        <w:t>1</w:t>
      </w:r>
      <w:r w:rsidRPr="00104553">
        <w:rPr>
          <w:rFonts w:eastAsia="Malgun Gothic"/>
          <w:b/>
          <w:sz w:val="20"/>
          <w:szCs w:val="20"/>
          <w:lang w:val="en-GB" w:eastAsia="en-US"/>
        </w:rPr>
        <w:fldChar w:fldCharType="end"/>
      </w:r>
      <w:bookmarkEnd w:id="2"/>
      <w:r w:rsidRPr="00104553">
        <w:rPr>
          <w:rFonts w:eastAsia="Malgun Gothic"/>
          <w:b/>
          <w:sz w:val="20"/>
          <w:szCs w:val="20"/>
          <w:lang w:val="en-GB" w:eastAsia="en-US"/>
        </w:rPr>
        <w:t xml:space="preserve">: Standard Deviations for EIRP </w:t>
      </w:r>
      <w:r w:rsidR="0075487E">
        <w:rPr>
          <w:rFonts w:eastAsia="Malgun Gothic"/>
          <w:b/>
          <w:sz w:val="20"/>
          <w:szCs w:val="20"/>
          <w:lang w:val="en-GB" w:eastAsia="en-US"/>
        </w:rPr>
        <w:t xml:space="preserve">and TRP </w:t>
      </w:r>
      <w:r w:rsidRPr="00104553">
        <w:rPr>
          <w:rFonts w:eastAsia="Malgun Gothic"/>
          <w:b/>
          <w:sz w:val="20"/>
          <w:szCs w:val="20"/>
          <w:lang w:val="en-GB" w:eastAsia="en-US"/>
        </w:rPr>
        <w:t>(30cm QZ)</w:t>
      </w:r>
    </w:p>
    <w:tbl>
      <w:tblPr>
        <w:tblW w:w="6516" w:type="dxa"/>
        <w:jc w:val="center"/>
        <w:tblLayout w:type="fixed"/>
        <w:tblLook w:val="04A0" w:firstRow="1" w:lastRow="0" w:firstColumn="1" w:lastColumn="0" w:noHBand="0" w:noVBand="1"/>
      </w:tblPr>
      <w:tblGrid>
        <w:gridCol w:w="1338"/>
        <w:gridCol w:w="1313"/>
        <w:gridCol w:w="1313"/>
        <w:gridCol w:w="1276"/>
        <w:gridCol w:w="1276"/>
      </w:tblGrid>
      <w:tr w:rsidR="00104553" w:rsidRPr="00104553" w:rsidTr="0075487E">
        <w:trPr>
          <w:trHeight w:val="420"/>
          <w:jc w:val="center"/>
        </w:trPr>
        <w:tc>
          <w:tcPr>
            <w:tcW w:w="1338" w:type="dxa"/>
            <w:vMerge w:val="restart"/>
            <w:tcBorders>
              <w:top w:val="single" w:sz="4" w:space="0" w:color="auto"/>
              <w:left w:val="single" w:sz="4" w:space="0" w:color="auto"/>
              <w:right w:val="single" w:sz="4" w:space="0" w:color="auto"/>
            </w:tcBorders>
            <w:shd w:val="clear" w:color="auto" w:fill="auto"/>
            <w:vAlign w:val="center"/>
          </w:tcPr>
          <w:p w:rsidR="00104553" w:rsidRPr="00104553" w:rsidRDefault="00104553" w:rsidP="00104553">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Positions</w:t>
            </w:r>
          </w:p>
        </w:tc>
        <w:tc>
          <w:tcPr>
            <w:tcW w:w="2626" w:type="dxa"/>
            <w:gridSpan w:val="2"/>
            <w:tcBorders>
              <w:top w:val="single" w:sz="4" w:space="0" w:color="auto"/>
              <w:left w:val="nil"/>
              <w:bottom w:val="single" w:sz="4" w:space="0" w:color="auto"/>
              <w:right w:val="single" w:sz="4" w:space="0" w:color="auto"/>
            </w:tcBorders>
            <w:shd w:val="clear" w:color="auto" w:fill="auto"/>
            <w:noWrap/>
            <w:vAlign w:val="center"/>
          </w:tcPr>
          <w:p w:rsidR="0075487E" w:rsidRDefault="00F201BF"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NTC</w:t>
            </w:r>
            <w:r w:rsidR="0075487E">
              <w:rPr>
                <w:rFonts w:eastAsia="Times New Roman"/>
                <w:b/>
                <w:bCs/>
                <w:color w:val="000000"/>
                <w:sz w:val="20"/>
                <w:szCs w:val="20"/>
                <w:lang w:eastAsia="en-US"/>
              </w:rPr>
              <w:t xml:space="preserve"> EIRP</w:t>
            </w:r>
            <w:r>
              <w:rPr>
                <w:rFonts w:eastAsia="Times New Roman"/>
                <w:b/>
                <w:bCs/>
                <w:color w:val="000000"/>
                <w:sz w:val="20"/>
                <w:szCs w:val="20"/>
                <w:lang w:eastAsia="en-US"/>
              </w:rPr>
              <w:t xml:space="preserve"> QoQZ</w:t>
            </w:r>
          </w:p>
          <w:p w:rsidR="00104553" w:rsidRPr="00104553" w:rsidRDefault="0075487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 xml:space="preserve">standard deviation </w:t>
            </w:r>
            <w:r w:rsidR="00104553" w:rsidRPr="00104553">
              <w:rPr>
                <w:rFonts w:eastAsia="Times New Roman"/>
                <w:b/>
                <w:bCs/>
                <w:color w:val="000000"/>
                <w:sz w:val="20"/>
                <w:szCs w:val="20"/>
                <w:lang w:eastAsia="en-US"/>
              </w:rPr>
              <w:t>(dB)</w:t>
            </w:r>
          </w:p>
        </w:tc>
        <w:tc>
          <w:tcPr>
            <w:tcW w:w="2552" w:type="dxa"/>
            <w:gridSpan w:val="2"/>
            <w:tcBorders>
              <w:top w:val="single" w:sz="4" w:space="0" w:color="auto"/>
              <w:left w:val="nil"/>
              <w:bottom w:val="single" w:sz="4" w:space="0" w:color="auto"/>
              <w:right w:val="single" w:sz="4" w:space="0" w:color="auto"/>
            </w:tcBorders>
            <w:vAlign w:val="center"/>
          </w:tcPr>
          <w:p w:rsidR="0075487E" w:rsidRDefault="0075487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NTC TRP QoQZ</w:t>
            </w:r>
          </w:p>
          <w:p w:rsidR="00104553" w:rsidRPr="00104553" w:rsidRDefault="0075487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 xml:space="preserve">standard deviation </w:t>
            </w:r>
            <w:r w:rsidRPr="00104553">
              <w:rPr>
                <w:rFonts w:eastAsia="Times New Roman"/>
                <w:b/>
                <w:bCs/>
                <w:color w:val="000000"/>
                <w:sz w:val="20"/>
                <w:szCs w:val="20"/>
                <w:lang w:eastAsia="en-US"/>
              </w:rPr>
              <w:t>(dB)</w:t>
            </w:r>
          </w:p>
        </w:tc>
      </w:tr>
      <w:tr w:rsidR="0075487E" w:rsidRPr="00104553" w:rsidTr="0075487E">
        <w:trPr>
          <w:trHeight w:val="420"/>
          <w:jc w:val="center"/>
        </w:trPr>
        <w:tc>
          <w:tcPr>
            <w:tcW w:w="1338" w:type="dxa"/>
            <w:vMerge/>
            <w:tcBorders>
              <w:left w:val="single" w:sz="4" w:space="0" w:color="auto"/>
              <w:bottom w:val="single" w:sz="4" w:space="0" w:color="auto"/>
              <w:right w:val="single" w:sz="4" w:space="0" w:color="auto"/>
            </w:tcBorders>
            <w:shd w:val="clear" w:color="auto" w:fill="auto"/>
            <w:vAlign w:val="center"/>
            <w:hideMark/>
          </w:tcPr>
          <w:p w:rsidR="0075487E" w:rsidRPr="00104553" w:rsidRDefault="0075487E" w:rsidP="00104553">
            <w:pPr>
              <w:spacing w:after="0" w:line="240" w:lineRule="auto"/>
              <w:jc w:val="center"/>
              <w:rPr>
                <w:rFonts w:eastAsia="Times New Roman"/>
                <w:b/>
                <w:bCs/>
                <w:color w:val="000000"/>
                <w:sz w:val="20"/>
                <w:szCs w:val="20"/>
                <w:lang w:eastAsia="en-US"/>
              </w:rPr>
            </w:pPr>
          </w:p>
        </w:tc>
        <w:tc>
          <w:tcPr>
            <w:tcW w:w="1313" w:type="dxa"/>
            <w:tcBorders>
              <w:top w:val="single" w:sz="4" w:space="0" w:color="auto"/>
              <w:left w:val="nil"/>
              <w:bottom w:val="single" w:sz="4" w:space="0" w:color="auto"/>
              <w:right w:val="single" w:sz="4" w:space="0" w:color="auto"/>
            </w:tcBorders>
            <w:shd w:val="clear" w:color="auto" w:fill="auto"/>
            <w:noWrap/>
            <w:vAlign w:val="center"/>
            <w:hideMark/>
          </w:tcPr>
          <w:p w:rsidR="0075487E" w:rsidRPr="00104553" w:rsidRDefault="0075487E" w:rsidP="0075487E">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40.8</w:t>
            </w:r>
            <w:r>
              <w:rPr>
                <w:rFonts w:eastAsia="Times New Roman"/>
                <w:b/>
                <w:bCs/>
                <w:color w:val="000000"/>
                <w:sz w:val="20"/>
                <w:szCs w:val="20"/>
                <w:lang w:eastAsia="en-US"/>
              </w:rPr>
              <w:t xml:space="preserve"> </w:t>
            </w:r>
            <w:r w:rsidRPr="00104553">
              <w:rPr>
                <w:rFonts w:eastAsia="Times New Roman"/>
                <w:b/>
                <w:bCs/>
                <w:color w:val="000000"/>
                <w:sz w:val="20"/>
                <w:szCs w:val="20"/>
                <w:lang w:eastAsia="en-US"/>
              </w:rPr>
              <w:t>GHz</w:t>
            </w:r>
          </w:p>
        </w:tc>
        <w:tc>
          <w:tcPr>
            <w:tcW w:w="1313" w:type="dxa"/>
            <w:tcBorders>
              <w:top w:val="single" w:sz="4" w:space="0" w:color="auto"/>
              <w:left w:val="nil"/>
              <w:bottom w:val="single" w:sz="4" w:space="0" w:color="auto"/>
              <w:right w:val="single" w:sz="4" w:space="0" w:color="auto"/>
            </w:tcBorders>
            <w:vAlign w:val="center"/>
          </w:tcPr>
          <w:p w:rsidR="0075487E" w:rsidRPr="00104553" w:rsidRDefault="0075487E" w:rsidP="0075487E">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44.3 GHz</w:t>
            </w:r>
          </w:p>
        </w:tc>
        <w:tc>
          <w:tcPr>
            <w:tcW w:w="1276" w:type="dxa"/>
            <w:tcBorders>
              <w:top w:val="single" w:sz="4" w:space="0" w:color="auto"/>
              <w:left w:val="single" w:sz="4" w:space="0" w:color="auto"/>
              <w:bottom w:val="single" w:sz="4" w:space="0" w:color="auto"/>
              <w:right w:val="single" w:sz="4" w:space="0" w:color="auto"/>
            </w:tcBorders>
            <w:vAlign w:val="center"/>
          </w:tcPr>
          <w:p w:rsidR="0075487E" w:rsidRPr="00104553" w:rsidRDefault="0075487E" w:rsidP="0075487E">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40.8</w:t>
            </w:r>
            <w:r>
              <w:rPr>
                <w:rFonts w:eastAsia="Times New Roman"/>
                <w:b/>
                <w:bCs/>
                <w:color w:val="000000"/>
                <w:sz w:val="20"/>
                <w:szCs w:val="20"/>
                <w:lang w:eastAsia="en-US"/>
              </w:rPr>
              <w:t xml:space="preserve"> </w:t>
            </w:r>
            <w:r w:rsidRPr="00104553">
              <w:rPr>
                <w:rFonts w:eastAsia="Times New Roman"/>
                <w:b/>
                <w:bCs/>
                <w:color w:val="000000"/>
                <w:sz w:val="20"/>
                <w:szCs w:val="20"/>
                <w:lang w:eastAsia="en-US"/>
              </w:rPr>
              <w:t>GHz</w:t>
            </w:r>
          </w:p>
        </w:tc>
        <w:tc>
          <w:tcPr>
            <w:tcW w:w="1276" w:type="dxa"/>
            <w:tcBorders>
              <w:top w:val="single" w:sz="4" w:space="0" w:color="auto"/>
              <w:left w:val="nil"/>
              <w:bottom w:val="single" w:sz="4" w:space="0" w:color="auto"/>
              <w:right w:val="single" w:sz="4" w:space="0" w:color="auto"/>
            </w:tcBorders>
            <w:vAlign w:val="center"/>
          </w:tcPr>
          <w:p w:rsidR="0075487E" w:rsidRPr="00104553" w:rsidRDefault="0075487E" w:rsidP="0075487E">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44.3 GHz</w:t>
            </w:r>
          </w:p>
        </w:tc>
      </w:tr>
      <w:tr w:rsidR="0075487E" w:rsidRPr="00104553" w:rsidTr="0075487E">
        <w:trPr>
          <w:trHeight w:val="176"/>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rsidR="0075487E" w:rsidRPr="0075487E" w:rsidRDefault="0075487E" w:rsidP="0075487E">
            <w:pPr>
              <w:spacing w:after="0" w:line="240" w:lineRule="auto"/>
              <w:jc w:val="center"/>
              <w:rPr>
                <w:rFonts w:eastAsia="Times New Roman"/>
                <w:b/>
                <w:bCs/>
                <w:color w:val="000000"/>
                <w:sz w:val="20"/>
                <w:szCs w:val="20"/>
                <w:lang w:eastAsia="en-US"/>
              </w:rPr>
            </w:pPr>
            <w:r w:rsidRPr="0075487E">
              <w:rPr>
                <w:rFonts w:eastAsia="Times New Roman"/>
                <w:b/>
                <w:bCs/>
                <w:color w:val="000000"/>
                <w:sz w:val="20"/>
                <w:szCs w:val="20"/>
                <w:lang w:eastAsia="en-US"/>
              </w:rPr>
              <w:t>P1-P7</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0.56</w:t>
            </w:r>
          </w:p>
        </w:tc>
        <w:tc>
          <w:tcPr>
            <w:tcW w:w="1313" w:type="dxa"/>
            <w:tcBorders>
              <w:top w:val="single" w:sz="4" w:space="0" w:color="auto"/>
              <w:left w:val="single" w:sz="4" w:space="0" w:color="auto"/>
              <w:bottom w:val="single" w:sz="4" w:space="0" w:color="auto"/>
              <w:right w:val="single" w:sz="4" w:space="0" w:color="auto"/>
            </w:tcBorders>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0.42</w:t>
            </w:r>
          </w:p>
        </w:tc>
        <w:tc>
          <w:tcPr>
            <w:tcW w:w="1276" w:type="dxa"/>
            <w:tcBorders>
              <w:top w:val="single" w:sz="4" w:space="0" w:color="auto"/>
              <w:left w:val="nil"/>
              <w:bottom w:val="single" w:sz="4" w:space="0" w:color="auto"/>
              <w:right w:val="single" w:sz="4" w:space="0" w:color="auto"/>
            </w:tcBorders>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0.49</w:t>
            </w:r>
          </w:p>
        </w:tc>
      </w:tr>
      <w:tr w:rsidR="0075487E" w:rsidRPr="00104553" w:rsidTr="0075487E">
        <w:trPr>
          <w:trHeight w:val="212"/>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rsidR="0075487E" w:rsidRPr="0075487E" w:rsidRDefault="0075487E" w:rsidP="0075487E">
            <w:pPr>
              <w:spacing w:after="0" w:line="240" w:lineRule="auto"/>
              <w:jc w:val="center"/>
              <w:rPr>
                <w:rFonts w:eastAsia="Times New Roman"/>
                <w:b/>
                <w:bCs/>
                <w:color w:val="000000"/>
                <w:sz w:val="20"/>
                <w:szCs w:val="20"/>
                <w:lang w:eastAsia="en-US"/>
              </w:rPr>
            </w:pPr>
            <w:r w:rsidRPr="0075487E">
              <w:rPr>
                <w:rFonts w:eastAsia="Times New Roman"/>
                <w:b/>
                <w:bCs/>
                <w:color w:val="000000"/>
                <w:sz w:val="20"/>
                <w:szCs w:val="20"/>
                <w:lang w:eastAsia="en-US"/>
              </w:rPr>
              <w:t>P1 only</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0.46</w:t>
            </w:r>
          </w:p>
        </w:tc>
        <w:tc>
          <w:tcPr>
            <w:tcW w:w="1313" w:type="dxa"/>
            <w:tcBorders>
              <w:top w:val="single" w:sz="4" w:space="0" w:color="auto"/>
              <w:left w:val="single" w:sz="4" w:space="0" w:color="auto"/>
              <w:bottom w:val="single" w:sz="4" w:space="0" w:color="auto"/>
              <w:right w:val="single" w:sz="4" w:space="0" w:color="auto"/>
            </w:tcBorders>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0.34</w:t>
            </w:r>
          </w:p>
        </w:tc>
        <w:tc>
          <w:tcPr>
            <w:tcW w:w="1276" w:type="dxa"/>
            <w:tcBorders>
              <w:top w:val="single" w:sz="4" w:space="0" w:color="auto"/>
              <w:left w:val="nil"/>
              <w:bottom w:val="single" w:sz="4" w:space="0" w:color="auto"/>
              <w:right w:val="single" w:sz="4" w:space="0" w:color="auto"/>
            </w:tcBorders>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0.36</w:t>
            </w:r>
          </w:p>
        </w:tc>
      </w:tr>
    </w:tbl>
    <w:p w:rsidR="00F201BF" w:rsidRDefault="00F201BF" w:rsidP="00104553">
      <w:pPr>
        <w:rPr>
          <w:lang w:eastAsia="en-US"/>
        </w:rPr>
      </w:pPr>
    </w:p>
    <w:p w:rsidR="00F201BF" w:rsidRDefault="00F201BF" w:rsidP="00F201BF">
      <w:pPr>
        <w:rPr>
          <w:lang w:eastAsia="en-US"/>
        </w:rPr>
      </w:pPr>
      <w:r>
        <w:rPr>
          <w:lang w:eastAsia="en-US"/>
        </w:rPr>
        <w:t xml:space="preserve">Up to now there has not been a decision on the MU for FR2c in the NTC case. In order to progress the MU for FR2c, we propose a standard deviation of the QoQZ MU for the measurement stage </w:t>
      </w:r>
      <w:r w:rsidRPr="007A7162">
        <w:rPr>
          <w:lang w:eastAsia="en-US"/>
        </w:rPr>
        <w:t xml:space="preserve">of </w:t>
      </w:r>
      <w:r w:rsidR="004F4B9A" w:rsidRPr="004F4B9A">
        <w:rPr>
          <w:highlight w:val="yellow"/>
          <w:lang w:eastAsia="en-US"/>
        </w:rPr>
        <w:t>0.7</w:t>
      </w:r>
      <w:r w:rsidRPr="007A7162">
        <w:rPr>
          <w:lang w:eastAsia="en-US"/>
        </w:rPr>
        <w:t xml:space="preserve"> dB</w:t>
      </w:r>
      <w:r>
        <w:rPr>
          <w:lang w:eastAsia="en-US"/>
        </w:rPr>
        <w:t xml:space="preserve"> </w:t>
      </w:r>
      <w:r w:rsidR="00647145">
        <w:rPr>
          <w:lang w:eastAsia="en-US"/>
        </w:rPr>
        <w:t>for EIRP and 0.</w:t>
      </w:r>
      <w:r w:rsidR="00647145" w:rsidRPr="004E2BED">
        <w:rPr>
          <w:lang w:eastAsia="en-US"/>
        </w:rPr>
        <w:t xml:space="preserve">6 dB for TRP </w:t>
      </w:r>
      <w:r w:rsidR="0075487E" w:rsidRPr="004E2BED">
        <w:rPr>
          <w:lang w:eastAsia="en-US"/>
        </w:rPr>
        <w:t>considering a small margin for</w:t>
      </w:r>
      <w:r w:rsidR="00647145" w:rsidRPr="004E2BED">
        <w:rPr>
          <w:lang w:eastAsia="en-US"/>
        </w:rPr>
        <w:t xml:space="preserve"> possible</w:t>
      </w:r>
      <w:r w:rsidR="0075487E" w:rsidRPr="004E2BED">
        <w:rPr>
          <w:lang w:eastAsia="en-US"/>
        </w:rPr>
        <w:t xml:space="preserve"> chamber to chamber variations</w:t>
      </w:r>
      <w:r w:rsidRPr="004E2BED">
        <w:rPr>
          <w:lang w:eastAsia="en-US"/>
        </w:rPr>
        <w:t>.</w:t>
      </w:r>
      <w:r>
        <w:rPr>
          <w:lang w:eastAsia="en-US"/>
        </w:rPr>
        <w:t xml:space="preserve"> </w:t>
      </w:r>
    </w:p>
    <w:p w:rsidR="00F201BF" w:rsidRDefault="00F201BF" w:rsidP="00F201BF">
      <w:pPr>
        <w:rPr>
          <w:lang w:eastAsia="en-US"/>
        </w:rPr>
      </w:pPr>
      <w:r w:rsidRPr="00F201BF">
        <w:rPr>
          <w:b/>
          <w:lang w:eastAsia="en-US"/>
        </w:rPr>
        <w:t xml:space="preserve">Proposal 1: </w:t>
      </w:r>
      <w:r w:rsidRPr="00F201BF">
        <w:rPr>
          <w:lang w:eastAsia="en-US"/>
        </w:rPr>
        <w:t xml:space="preserve">For IFF with 30cm </w:t>
      </w:r>
      <w:r w:rsidR="00E66FD7">
        <w:rPr>
          <w:lang w:eastAsia="en-US"/>
        </w:rPr>
        <w:t>NTC</w:t>
      </w:r>
      <w:r w:rsidR="00E66FD7" w:rsidRPr="00F201BF">
        <w:rPr>
          <w:lang w:eastAsia="en-US"/>
        </w:rPr>
        <w:t xml:space="preserve"> </w:t>
      </w:r>
      <w:r w:rsidRPr="00F201BF">
        <w:rPr>
          <w:lang w:eastAsia="en-US"/>
        </w:rPr>
        <w:t xml:space="preserve">Quiet Zone, specify a standard deviation for the Quality of Quiet Zone </w:t>
      </w:r>
      <w:r w:rsidR="00647145">
        <w:rPr>
          <w:lang w:eastAsia="en-US"/>
        </w:rPr>
        <w:t xml:space="preserve">at Stage 2 </w:t>
      </w:r>
      <w:r w:rsidR="00647145" w:rsidRPr="00F201BF">
        <w:rPr>
          <w:lang w:eastAsia="en-US"/>
        </w:rPr>
        <w:t>for FR2c</w:t>
      </w:r>
      <w:r w:rsidR="00647145">
        <w:rPr>
          <w:lang w:eastAsia="en-US"/>
        </w:rPr>
        <w:t xml:space="preserve"> of </w:t>
      </w:r>
      <w:r w:rsidR="004F4B9A" w:rsidRPr="004F4B9A">
        <w:rPr>
          <w:highlight w:val="yellow"/>
          <w:lang w:eastAsia="en-US"/>
        </w:rPr>
        <w:t>0.7</w:t>
      </w:r>
      <w:r w:rsidRPr="00F201BF">
        <w:rPr>
          <w:lang w:eastAsia="en-US"/>
        </w:rPr>
        <w:t xml:space="preserve"> dB</w:t>
      </w:r>
      <w:r w:rsidR="00647145">
        <w:rPr>
          <w:lang w:eastAsia="en-US"/>
        </w:rPr>
        <w:t xml:space="preserve"> for </w:t>
      </w:r>
      <w:r w:rsidR="00647145" w:rsidRPr="00F201BF">
        <w:rPr>
          <w:lang w:eastAsia="en-US"/>
        </w:rPr>
        <w:t>EIRP</w:t>
      </w:r>
      <w:r w:rsidR="00647145">
        <w:rPr>
          <w:lang w:eastAsia="en-US"/>
        </w:rPr>
        <w:t xml:space="preserve"> </w:t>
      </w:r>
      <w:r w:rsidRPr="00F201BF">
        <w:rPr>
          <w:lang w:eastAsia="en-US"/>
        </w:rPr>
        <w:t xml:space="preserve">and 0.6 dB </w:t>
      </w:r>
      <w:r w:rsidR="00647145">
        <w:rPr>
          <w:lang w:eastAsia="en-US"/>
        </w:rPr>
        <w:t>for TRP</w:t>
      </w:r>
      <w:r w:rsidRPr="00F201BF">
        <w:rPr>
          <w:lang w:eastAsia="en-US"/>
        </w:rPr>
        <w:t>.</w:t>
      </w:r>
    </w:p>
    <w:p w:rsidR="00F201BF" w:rsidRDefault="00647145" w:rsidP="00F201BF">
      <w:pPr>
        <w:rPr>
          <w:lang w:eastAsia="en-US"/>
        </w:rPr>
      </w:pPr>
      <w:r>
        <w:rPr>
          <w:lang w:eastAsia="en-US"/>
        </w:rPr>
        <w:lastRenderedPageBreak/>
        <w:t xml:space="preserve">The QoQZ MU for the calibration stage, is based on the standard deviation of the EIRP measurements of the various orientations at position P1. Therefore, we propose </w:t>
      </w:r>
      <w:r w:rsidR="004F4B9A" w:rsidRPr="004F4B9A">
        <w:rPr>
          <w:highlight w:val="yellow"/>
          <w:lang w:eastAsia="en-US"/>
        </w:rPr>
        <w:t>0.5</w:t>
      </w:r>
      <w:r w:rsidR="00F201BF">
        <w:rPr>
          <w:lang w:eastAsia="en-US"/>
        </w:rPr>
        <w:t xml:space="preserve"> dB for the </w:t>
      </w:r>
      <w:r>
        <w:rPr>
          <w:lang w:eastAsia="en-US"/>
        </w:rPr>
        <w:t xml:space="preserve">QoQZ MU of the </w:t>
      </w:r>
      <w:r w:rsidR="00F201BF">
        <w:rPr>
          <w:lang w:eastAsia="en-US"/>
        </w:rPr>
        <w:t>calibration stage</w:t>
      </w:r>
      <w:r>
        <w:rPr>
          <w:lang w:eastAsia="en-US"/>
        </w:rPr>
        <w:t xml:space="preserve"> for EIRP and TRP test cases.</w:t>
      </w:r>
    </w:p>
    <w:p w:rsidR="00F201BF" w:rsidRDefault="00F201BF" w:rsidP="00F201BF">
      <w:pPr>
        <w:rPr>
          <w:lang w:eastAsia="en-US"/>
        </w:rPr>
      </w:pPr>
      <w:r w:rsidRPr="00F201BF">
        <w:rPr>
          <w:b/>
          <w:lang w:eastAsia="en-US"/>
        </w:rPr>
        <w:t>P</w:t>
      </w:r>
      <w:r>
        <w:rPr>
          <w:b/>
          <w:lang w:eastAsia="en-US"/>
        </w:rPr>
        <w:t>roposal 2</w:t>
      </w:r>
      <w:r w:rsidRPr="00F201BF">
        <w:rPr>
          <w:b/>
          <w:lang w:eastAsia="en-US"/>
        </w:rPr>
        <w:t xml:space="preserve">: </w:t>
      </w:r>
      <w:r w:rsidRPr="00F201BF">
        <w:rPr>
          <w:lang w:eastAsia="en-US"/>
        </w:rPr>
        <w:t>For IFF with 30cm</w:t>
      </w:r>
      <w:r w:rsidR="00E66FD7" w:rsidRPr="00E66FD7">
        <w:rPr>
          <w:lang w:eastAsia="en-US"/>
        </w:rPr>
        <w:t xml:space="preserve"> </w:t>
      </w:r>
      <w:r w:rsidR="00E66FD7">
        <w:rPr>
          <w:lang w:eastAsia="en-US"/>
        </w:rPr>
        <w:t>NTC</w:t>
      </w:r>
      <w:r w:rsidRPr="00F201BF">
        <w:rPr>
          <w:lang w:eastAsia="en-US"/>
        </w:rPr>
        <w:t xml:space="preserve"> Quiet Zone, specify a standard deviation for the Quality of Quiet Zone </w:t>
      </w:r>
      <w:r w:rsidR="00647145">
        <w:rPr>
          <w:lang w:eastAsia="en-US"/>
        </w:rPr>
        <w:t xml:space="preserve">at Stage 1 </w:t>
      </w:r>
      <w:r w:rsidRPr="00F201BF">
        <w:rPr>
          <w:lang w:eastAsia="en-US"/>
        </w:rPr>
        <w:t xml:space="preserve">for FR2c of </w:t>
      </w:r>
      <w:r w:rsidR="004F4B9A" w:rsidRPr="004F4B9A">
        <w:rPr>
          <w:highlight w:val="yellow"/>
          <w:lang w:eastAsia="en-US"/>
        </w:rPr>
        <w:t>0.5</w:t>
      </w:r>
      <w:r w:rsidRPr="00F201BF">
        <w:rPr>
          <w:lang w:eastAsia="en-US"/>
        </w:rPr>
        <w:t xml:space="preserve"> dB.</w:t>
      </w:r>
    </w:p>
    <w:bookmarkEnd w:id="0"/>
    <w:bookmarkEnd w:id="1"/>
    <w:p w:rsidR="004860AF" w:rsidRPr="004860AF" w:rsidRDefault="00AA56D9" w:rsidP="004860AF">
      <w:pPr>
        <w:pStyle w:val="berschrift1"/>
        <w:rPr>
          <w:lang w:val="en-US"/>
        </w:rPr>
      </w:pPr>
      <w:r w:rsidRPr="00B55C47">
        <w:rPr>
          <w:lang w:val="en-US"/>
        </w:rPr>
        <w:tab/>
      </w:r>
      <w:r w:rsidRPr="004860AF">
        <w:rPr>
          <w:lang w:val="en-US"/>
        </w:rPr>
        <w:t>Conclusion</w:t>
      </w:r>
    </w:p>
    <w:p w:rsidR="004860AF" w:rsidRDefault="004860AF" w:rsidP="004860AF">
      <w:pPr>
        <w:rPr>
          <w:lang w:eastAsia="en-US"/>
        </w:rPr>
      </w:pPr>
      <w:r w:rsidRPr="004860AF">
        <w:rPr>
          <w:lang w:eastAsia="en-US"/>
        </w:rPr>
        <w:t xml:space="preserve">In </w:t>
      </w:r>
      <w:r>
        <w:rPr>
          <w:lang w:eastAsia="en-US"/>
        </w:rPr>
        <w:t xml:space="preserve">summary, the </w:t>
      </w:r>
      <w:r w:rsidR="00CD259C">
        <w:rPr>
          <w:lang w:eastAsia="en-US"/>
        </w:rPr>
        <w:t>QoQZ for</w:t>
      </w:r>
      <w:r w:rsidR="00A56AF7">
        <w:rPr>
          <w:lang w:eastAsia="en-US"/>
        </w:rPr>
        <w:t xml:space="preserve"> NTC and</w:t>
      </w:r>
      <w:r w:rsidR="00CD259C">
        <w:rPr>
          <w:lang w:eastAsia="en-US"/>
        </w:rPr>
        <w:t xml:space="preserve"> FR</w:t>
      </w:r>
      <w:r w:rsidR="00A56AF7">
        <w:rPr>
          <w:lang w:eastAsia="en-US"/>
        </w:rPr>
        <w:t>2</w:t>
      </w:r>
      <w:r w:rsidR="00CD259C">
        <w:rPr>
          <w:lang w:eastAsia="en-US"/>
        </w:rPr>
        <w:t>c ha</w:t>
      </w:r>
      <w:bookmarkStart w:id="3" w:name="_GoBack"/>
      <w:bookmarkEnd w:id="3"/>
      <w:r w:rsidR="00CD259C">
        <w:rPr>
          <w:lang w:eastAsia="en-US"/>
        </w:rPr>
        <w:t>s been</w:t>
      </w:r>
      <w:r>
        <w:rPr>
          <w:lang w:eastAsia="en-US"/>
        </w:rPr>
        <w:t xml:space="preserve"> </w:t>
      </w:r>
      <w:r w:rsidR="00C22DD2">
        <w:rPr>
          <w:lang w:eastAsia="en-US"/>
        </w:rPr>
        <w:t>discussed</w:t>
      </w:r>
      <w:r w:rsidR="00CD259C">
        <w:rPr>
          <w:lang w:eastAsia="en-US"/>
        </w:rPr>
        <w:t>:</w:t>
      </w:r>
    </w:p>
    <w:p w:rsidR="001401DB" w:rsidRDefault="001401DB" w:rsidP="001401DB">
      <w:pPr>
        <w:rPr>
          <w:lang w:eastAsia="en-US"/>
        </w:rPr>
      </w:pPr>
      <w:r w:rsidRPr="00F201BF">
        <w:rPr>
          <w:b/>
          <w:lang w:eastAsia="en-US"/>
        </w:rPr>
        <w:t xml:space="preserve">Proposal 1: </w:t>
      </w:r>
      <w:r w:rsidRPr="00F201BF">
        <w:rPr>
          <w:lang w:eastAsia="en-US"/>
        </w:rPr>
        <w:t xml:space="preserve">For IFF with 30cm </w:t>
      </w:r>
      <w:r>
        <w:rPr>
          <w:lang w:eastAsia="en-US"/>
        </w:rPr>
        <w:t>NTC</w:t>
      </w:r>
      <w:r w:rsidRPr="00F201BF">
        <w:rPr>
          <w:lang w:eastAsia="en-US"/>
        </w:rPr>
        <w:t xml:space="preserve"> Quiet Zone, specify a standard deviation for the Quality of Quiet Zone </w:t>
      </w:r>
      <w:r>
        <w:rPr>
          <w:lang w:eastAsia="en-US"/>
        </w:rPr>
        <w:t xml:space="preserve">at Stage 2 </w:t>
      </w:r>
      <w:r w:rsidRPr="00F201BF">
        <w:rPr>
          <w:lang w:eastAsia="en-US"/>
        </w:rPr>
        <w:t>for FR2c</w:t>
      </w:r>
      <w:r>
        <w:rPr>
          <w:lang w:eastAsia="en-US"/>
        </w:rPr>
        <w:t xml:space="preserve"> of </w:t>
      </w:r>
      <w:r w:rsidR="004F4B9A" w:rsidRPr="004F4B9A">
        <w:rPr>
          <w:highlight w:val="yellow"/>
          <w:lang w:eastAsia="en-US"/>
        </w:rPr>
        <w:t>0.7</w:t>
      </w:r>
      <w:r w:rsidRPr="00F201BF">
        <w:rPr>
          <w:lang w:eastAsia="en-US"/>
        </w:rPr>
        <w:t xml:space="preserve"> dB</w:t>
      </w:r>
      <w:r>
        <w:rPr>
          <w:lang w:eastAsia="en-US"/>
        </w:rPr>
        <w:t xml:space="preserve"> for </w:t>
      </w:r>
      <w:r w:rsidRPr="00F201BF">
        <w:rPr>
          <w:lang w:eastAsia="en-US"/>
        </w:rPr>
        <w:t>EIRP</w:t>
      </w:r>
      <w:r>
        <w:rPr>
          <w:lang w:eastAsia="en-US"/>
        </w:rPr>
        <w:t xml:space="preserve"> </w:t>
      </w:r>
      <w:r w:rsidRPr="00F201BF">
        <w:rPr>
          <w:lang w:eastAsia="en-US"/>
        </w:rPr>
        <w:t xml:space="preserve">and 0.6 dB </w:t>
      </w:r>
      <w:r>
        <w:rPr>
          <w:lang w:eastAsia="en-US"/>
        </w:rPr>
        <w:t>for TRP</w:t>
      </w:r>
      <w:r w:rsidRPr="00F201BF">
        <w:rPr>
          <w:lang w:eastAsia="en-US"/>
        </w:rPr>
        <w:t>.</w:t>
      </w:r>
    </w:p>
    <w:p w:rsidR="001401DB" w:rsidRDefault="001401DB" w:rsidP="001401DB">
      <w:pPr>
        <w:rPr>
          <w:lang w:eastAsia="en-US"/>
        </w:rPr>
      </w:pPr>
      <w:r w:rsidRPr="00F201BF">
        <w:rPr>
          <w:b/>
          <w:lang w:eastAsia="en-US"/>
        </w:rPr>
        <w:t>P</w:t>
      </w:r>
      <w:r>
        <w:rPr>
          <w:b/>
          <w:lang w:eastAsia="en-US"/>
        </w:rPr>
        <w:t>roposal 2</w:t>
      </w:r>
      <w:r w:rsidRPr="00F201BF">
        <w:rPr>
          <w:b/>
          <w:lang w:eastAsia="en-US"/>
        </w:rPr>
        <w:t xml:space="preserve">: </w:t>
      </w:r>
      <w:r w:rsidRPr="00F201BF">
        <w:rPr>
          <w:lang w:eastAsia="en-US"/>
        </w:rPr>
        <w:t>For IFF with 30cm</w:t>
      </w:r>
      <w:r w:rsidRPr="00E66FD7">
        <w:rPr>
          <w:lang w:eastAsia="en-US"/>
        </w:rPr>
        <w:t xml:space="preserve"> </w:t>
      </w:r>
      <w:r>
        <w:rPr>
          <w:lang w:eastAsia="en-US"/>
        </w:rPr>
        <w:t>NTC</w:t>
      </w:r>
      <w:r w:rsidRPr="00F201BF">
        <w:rPr>
          <w:lang w:eastAsia="en-US"/>
        </w:rPr>
        <w:t xml:space="preserve"> Quiet Zone, specify a standard deviation for the Quality of Quiet Zone </w:t>
      </w:r>
      <w:r>
        <w:rPr>
          <w:lang w:eastAsia="en-US"/>
        </w:rPr>
        <w:t xml:space="preserve">at Stage 1 </w:t>
      </w:r>
      <w:r w:rsidRPr="00F201BF">
        <w:rPr>
          <w:lang w:eastAsia="en-US"/>
        </w:rPr>
        <w:t xml:space="preserve">for FR2c of </w:t>
      </w:r>
      <w:r w:rsidR="004F4B9A" w:rsidRPr="004F4B9A">
        <w:rPr>
          <w:highlight w:val="yellow"/>
          <w:lang w:eastAsia="en-US"/>
        </w:rPr>
        <w:t>0.5</w:t>
      </w:r>
      <w:r w:rsidRPr="00F201BF">
        <w:rPr>
          <w:lang w:eastAsia="en-US"/>
        </w:rPr>
        <w:t xml:space="preserve"> dB.</w:t>
      </w:r>
    </w:p>
    <w:p w:rsidR="00AF2B58" w:rsidRPr="00B55C47" w:rsidRDefault="00AF2B58" w:rsidP="00AF2B58">
      <w:pPr>
        <w:pStyle w:val="berschrift1"/>
        <w:numPr>
          <w:ilvl w:val="0"/>
          <w:numId w:val="0"/>
        </w:numPr>
        <w:ind w:left="432" w:hanging="432"/>
        <w:rPr>
          <w:rFonts w:cs="Arial"/>
          <w:lang w:val="en-US"/>
        </w:rPr>
      </w:pPr>
      <w:bookmarkStart w:id="4" w:name="_Ref473660868"/>
      <w:bookmarkStart w:id="5" w:name="_Ref473660708"/>
      <w:bookmarkStart w:id="6" w:name="OLE_LINK6"/>
      <w:bookmarkStart w:id="7" w:name="OLE_LINK7"/>
      <w:r w:rsidRPr="00B55C47">
        <w:rPr>
          <w:rFonts w:cs="Arial"/>
          <w:lang w:val="en-US"/>
        </w:rPr>
        <w:t>References</w:t>
      </w:r>
    </w:p>
    <w:bookmarkEnd w:id="4"/>
    <w:bookmarkEnd w:id="5"/>
    <w:bookmarkEnd w:id="6"/>
    <w:bookmarkEnd w:id="7"/>
    <w:p w:rsidR="008C2CA2" w:rsidRDefault="004E2BED" w:rsidP="004E2BED">
      <w:pPr>
        <w:pStyle w:val="Listenabsatz"/>
        <w:numPr>
          <w:ilvl w:val="0"/>
          <w:numId w:val="4"/>
        </w:numPr>
        <w:spacing w:before="120"/>
        <w:rPr>
          <w:lang w:val="en-GB"/>
        </w:rPr>
      </w:pPr>
      <w:r w:rsidRPr="004E2BED">
        <w:rPr>
          <w:lang w:val="en-GB"/>
        </w:rPr>
        <w:t>R5-206788, Discussion about Test Tolerance of Band n259, DOCOMO Communications Lab, 3GPP TSG RAN WG 5 Meeting #89-e, November 2020</w:t>
      </w:r>
    </w:p>
    <w:p w:rsidR="004E2BED" w:rsidRDefault="004E2BED" w:rsidP="004E2BED">
      <w:pPr>
        <w:pStyle w:val="Listenabsatz"/>
        <w:numPr>
          <w:ilvl w:val="0"/>
          <w:numId w:val="4"/>
        </w:numPr>
        <w:spacing w:before="120"/>
        <w:rPr>
          <w:lang w:val="en-GB"/>
        </w:rPr>
      </w:pPr>
      <w:r w:rsidRPr="004E2BED">
        <w:rPr>
          <w:lang w:val="en-GB"/>
        </w:rPr>
        <w:t>R5-206787</w:t>
      </w:r>
      <w:r>
        <w:rPr>
          <w:lang w:val="en-GB"/>
        </w:rPr>
        <w:t xml:space="preserve">, </w:t>
      </w:r>
      <w:r w:rsidRPr="004E2BED">
        <w:rPr>
          <w:lang w:val="en-GB"/>
        </w:rPr>
        <w:t>Discussion on the MU for band n259</w:t>
      </w:r>
      <w:r>
        <w:rPr>
          <w:lang w:val="en-GB"/>
        </w:rPr>
        <w:t xml:space="preserve">, </w:t>
      </w:r>
      <w:r w:rsidRPr="004E2BED">
        <w:rPr>
          <w:lang w:val="en-GB"/>
        </w:rPr>
        <w:t>Rohde &amp; Schwarz, 3GPP TSG RAN WG 5 Meeting #89-e, November 2020</w:t>
      </w:r>
    </w:p>
    <w:p w:rsidR="004E2BED" w:rsidRDefault="004E2BED" w:rsidP="004E2BED">
      <w:pPr>
        <w:pStyle w:val="Listenabsatz"/>
        <w:numPr>
          <w:ilvl w:val="0"/>
          <w:numId w:val="4"/>
        </w:numPr>
        <w:spacing w:before="120"/>
        <w:rPr>
          <w:lang w:val="en-GB"/>
        </w:rPr>
      </w:pPr>
      <w:r w:rsidRPr="004E2BED">
        <w:rPr>
          <w:lang w:val="en-GB"/>
        </w:rPr>
        <w:t>R5-206786</w:t>
      </w:r>
      <w:r>
        <w:rPr>
          <w:lang w:val="en-GB"/>
        </w:rPr>
        <w:t xml:space="preserve">, </w:t>
      </w:r>
      <w:r w:rsidRPr="004E2BED">
        <w:rPr>
          <w:lang w:val="en-GB"/>
        </w:rPr>
        <w:t>On n259 MU and testability limit</w:t>
      </w:r>
      <w:r>
        <w:rPr>
          <w:lang w:val="en-GB"/>
        </w:rPr>
        <w:t xml:space="preserve">, </w:t>
      </w:r>
      <w:r w:rsidRPr="004E2BED">
        <w:rPr>
          <w:lang w:val="en-GB"/>
        </w:rPr>
        <w:t>Anritsu, 3GPP TSG RAN WG 5 Meeting #89-e, November 2020</w:t>
      </w:r>
    </w:p>
    <w:p w:rsidR="004E2BED" w:rsidRDefault="007E3499" w:rsidP="004E2BED">
      <w:pPr>
        <w:pStyle w:val="Listenabsatz"/>
        <w:numPr>
          <w:ilvl w:val="0"/>
          <w:numId w:val="4"/>
        </w:numPr>
        <w:spacing w:before="120"/>
        <w:rPr>
          <w:lang w:val="en-GB"/>
        </w:rPr>
      </w:pPr>
      <w:r>
        <w:rPr>
          <w:lang w:val="en-GB"/>
        </w:rPr>
        <w:t>R5-210557</w:t>
      </w:r>
      <w:r w:rsidR="004E2BED">
        <w:rPr>
          <w:lang w:val="en-GB"/>
        </w:rPr>
        <w:t>,</w:t>
      </w:r>
      <w:r w:rsidR="004E2BED" w:rsidRPr="004E2BED">
        <w:t xml:space="preserve"> </w:t>
      </w:r>
      <w:r w:rsidR="004E2BED" w:rsidRPr="004E2BED">
        <w:rPr>
          <w:lang w:val="en-GB"/>
        </w:rPr>
        <w:t>On the QoQZ standard deviation for ETC testing</w:t>
      </w:r>
      <w:r w:rsidR="004E2BED">
        <w:t xml:space="preserve">, </w:t>
      </w:r>
      <w:r w:rsidR="004E2BED" w:rsidRPr="004E2BED">
        <w:rPr>
          <w:lang w:val="en-GB"/>
        </w:rPr>
        <w:t>Rohde &amp; Schwarz, 3GPP TSG RAN WG 5 Meeting #90-e, February 2021</w:t>
      </w:r>
    </w:p>
    <w:p w:rsidR="00EA6A2B" w:rsidRPr="00441C65" w:rsidRDefault="00EA6A2B" w:rsidP="00605D2B">
      <w:pPr>
        <w:pStyle w:val="Listenabsatz"/>
        <w:numPr>
          <w:ilvl w:val="0"/>
          <w:numId w:val="0"/>
        </w:numPr>
        <w:spacing w:before="120" w:after="0" w:line="240" w:lineRule="auto"/>
        <w:ind w:left="360"/>
        <w:rPr>
          <w:lang w:val="en-US"/>
        </w:rPr>
      </w:pPr>
    </w:p>
    <w:sectPr w:rsidR="00EA6A2B" w:rsidRPr="00441C65"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988" w:rsidRDefault="00973988" w:rsidP="00371D7D">
      <w:r>
        <w:separator/>
      </w:r>
    </w:p>
  </w:endnote>
  <w:endnote w:type="continuationSeparator" w:id="0">
    <w:p w:rsidR="00973988" w:rsidRDefault="0097398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4F4B9A">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988" w:rsidRDefault="00973988" w:rsidP="00371D7D">
      <w:r>
        <w:separator/>
      </w:r>
    </w:p>
  </w:footnote>
  <w:footnote w:type="continuationSeparator" w:id="0">
    <w:p w:rsidR="00973988" w:rsidRDefault="0097398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CE6"/>
    <w:rsid w:val="00132BDD"/>
    <w:rsid w:val="001339FF"/>
    <w:rsid w:val="00135948"/>
    <w:rsid w:val="001378A7"/>
    <w:rsid w:val="001401DB"/>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5EA6"/>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6BB"/>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33E"/>
    <w:rsid w:val="003434B3"/>
    <w:rsid w:val="00344A92"/>
    <w:rsid w:val="00344B2B"/>
    <w:rsid w:val="0035204A"/>
    <w:rsid w:val="0036038D"/>
    <w:rsid w:val="003607C5"/>
    <w:rsid w:val="003608E0"/>
    <w:rsid w:val="003645D4"/>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420"/>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1C65"/>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174"/>
    <w:rsid w:val="00477362"/>
    <w:rsid w:val="00477BB8"/>
    <w:rsid w:val="00480E62"/>
    <w:rsid w:val="00481B3C"/>
    <w:rsid w:val="00483DBB"/>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6EB0"/>
    <w:rsid w:val="004D0D9B"/>
    <w:rsid w:val="004D1D11"/>
    <w:rsid w:val="004D2DCF"/>
    <w:rsid w:val="004D54FF"/>
    <w:rsid w:val="004D63A5"/>
    <w:rsid w:val="004D74F3"/>
    <w:rsid w:val="004E02C2"/>
    <w:rsid w:val="004E1ED2"/>
    <w:rsid w:val="004E2925"/>
    <w:rsid w:val="004E2BED"/>
    <w:rsid w:val="004E3358"/>
    <w:rsid w:val="004E3BCC"/>
    <w:rsid w:val="004E4907"/>
    <w:rsid w:val="004E6EDE"/>
    <w:rsid w:val="004F105C"/>
    <w:rsid w:val="004F17EE"/>
    <w:rsid w:val="004F26B4"/>
    <w:rsid w:val="004F27A7"/>
    <w:rsid w:val="004F36A7"/>
    <w:rsid w:val="004F4B9A"/>
    <w:rsid w:val="004F4D21"/>
    <w:rsid w:val="004F593F"/>
    <w:rsid w:val="004F697D"/>
    <w:rsid w:val="004F736B"/>
    <w:rsid w:val="004F7D33"/>
    <w:rsid w:val="0050072C"/>
    <w:rsid w:val="005023AD"/>
    <w:rsid w:val="00502740"/>
    <w:rsid w:val="00502B4D"/>
    <w:rsid w:val="00506FB3"/>
    <w:rsid w:val="005078E7"/>
    <w:rsid w:val="0051086A"/>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E8C"/>
    <w:rsid w:val="0063332F"/>
    <w:rsid w:val="00633773"/>
    <w:rsid w:val="0063395B"/>
    <w:rsid w:val="00634D07"/>
    <w:rsid w:val="00635940"/>
    <w:rsid w:val="006366AD"/>
    <w:rsid w:val="00637056"/>
    <w:rsid w:val="00640E01"/>
    <w:rsid w:val="00641EC6"/>
    <w:rsid w:val="00645237"/>
    <w:rsid w:val="006466C9"/>
    <w:rsid w:val="00647145"/>
    <w:rsid w:val="006476FB"/>
    <w:rsid w:val="00650649"/>
    <w:rsid w:val="00654178"/>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63E"/>
    <w:rsid w:val="006A5DB3"/>
    <w:rsid w:val="006A61C8"/>
    <w:rsid w:val="006A6F49"/>
    <w:rsid w:val="006A7586"/>
    <w:rsid w:val="006A7894"/>
    <w:rsid w:val="006A7D2C"/>
    <w:rsid w:val="006B01BC"/>
    <w:rsid w:val="006B0E15"/>
    <w:rsid w:val="006B508B"/>
    <w:rsid w:val="006B5C72"/>
    <w:rsid w:val="006B61A7"/>
    <w:rsid w:val="006B6E73"/>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308A"/>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487E"/>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2EF5"/>
    <w:rsid w:val="007842C7"/>
    <w:rsid w:val="007853D1"/>
    <w:rsid w:val="007927C1"/>
    <w:rsid w:val="00793EA4"/>
    <w:rsid w:val="007944C3"/>
    <w:rsid w:val="00795E3F"/>
    <w:rsid w:val="00797969"/>
    <w:rsid w:val="007A0507"/>
    <w:rsid w:val="007A422E"/>
    <w:rsid w:val="007A5046"/>
    <w:rsid w:val="007A5F3B"/>
    <w:rsid w:val="007A68E2"/>
    <w:rsid w:val="007A7076"/>
    <w:rsid w:val="007A7162"/>
    <w:rsid w:val="007A7270"/>
    <w:rsid w:val="007B0569"/>
    <w:rsid w:val="007B1E81"/>
    <w:rsid w:val="007B36E6"/>
    <w:rsid w:val="007B49AC"/>
    <w:rsid w:val="007B5D20"/>
    <w:rsid w:val="007B6733"/>
    <w:rsid w:val="007B6819"/>
    <w:rsid w:val="007B6ADB"/>
    <w:rsid w:val="007B7E71"/>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306B"/>
    <w:rsid w:val="007E3499"/>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80"/>
    <w:rsid w:val="008829FA"/>
    <w:rsid w:val="00882F18"/>
    <w:rsid w:val="0088344B"/>
    <w:rsid w:val="00883852"/>
    <w:rsid w:val="00887996"/>
    <w:rsid w:val="008879E9"/>
    <w:rsid w:val="008919FA"/>
    <w:rsid w:val="008922A4"/>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2CA2"/>
    <w:rsid w:val="008C3C49"/>
    <w:rsid w:val="008C77C6"/>
    <w:rsid w:val="008D0A86"/>
    <w:rsid w:val="008D2D94"/>
    <w:rsid w:val="008D552A"/>
    <w:rsid w:val="008D6EF1"/>
    <w:rsid w:val="008D7189"/>
    <w:rsid w:val="008D797C"/>
    <w:rsid w:val="008D7BA0"/>
    <w:rsid w:val="008E0015"/>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3988"/>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E7DFD"/>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07AE2"/>
    <w:rsid w:val="00A130E4"/>
    <w:rsid w:val="00A14EBC"/>
    <w:rsid w:val="00A15983"/>
    <w:rsid w:val="00A20935"/>
    <w:rsid w:val="00A20F66"/>
    <w:rsid w:val="00A2208A"/>
    <w:rsid w:val="00A22819"/>
    <w:rsid w:val="00A22A67"/>
    <w:rsid w:val="00A235FB"/>
    <w:rsid w:val="00A236DD"/>
    <w:rsid w:val="00A24150"/>
    <w:rsid w:val="00A32070"/>
    <w:rsid w:val="00A32F15"/>
    <w:rsid w:val="00A33A08"/>
    <w:rsid w:val="00A33D3A"/>
    <w:rsid w:val="00A353DC"/>
    <w:rsid w:val="00A40BA0"/>
    <w:rsid w:val="00A42596"/>
    <w:rsid w:val="00A43DCF"/>
    <w:rsid w:val="00A44C02"/>
    <w:rsid w:val="00A4537F"/>
    <w:rsid w:val="00A50225"/>
    <w:rsid w:val="00A55AF2"/>
    <w:rsid w:val="00A56901"/>
    <w:rsid w:val="00A56AF7"/>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3963"/>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060"/>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2017F"/>
    <w:rsid w:val="00E24D30"/>
    <w:rsid w:val="00E250CF"/>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6502"/>
    <w:rsid w:val="00E617F3"/>
    <w:rsid w:val="00E61903"/>
    <w:rsid w:val="00E625A1"/>
    <w:rsid w:val="00E644F2"/>
    <w:rsid w:val="00E66596"/>
    <w:rsid w:val="00E66FD7"/>
    <w:rsid w:val="00E67A6F"/>
    <w:rsid w:val="00E67B86"/>
    <w:rsid w:val="00E736DC"/>
    <w:rsid w:val="00E740C8"/>
    <w:rsid w:val="00E741E1"/>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01BF"/>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ECC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401D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283643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282468141">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492374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7438401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5301543">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2CB08-5614-4F22-9CC7-6C89BC763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2571</Characters>
  <Application>Microsoft Office Word</Application>
  <DocSecurity>0</DocSecurity>
  <Lines>21</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2021-03-01T12:36:00Z</dcterms:created>
  <dcterms:modified xsi:type="dcterms:W3CDTF">2021-03-01T12:41:00Z</dcterms:modified>
  <cp:category/>
</cp:coreProperties>
</file>